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BFD47">
      <w:pPr>
        <w:jc w:val="center"/>
        <w:rPr>
          <w:rFonts w:hint="eastAsia"/>
          <w:b/>
          <w:bCs/>
          <w:color w:val="auto"/>
          <w:sz w:val="30"/>
          <w:szCs w:val="30"/>
          <w:lang w:val="en-US" w:eastAsia="zh-CN"/>
        </w:rPr>
      </w:pPr>
      <w:bookmarkStart w:id="0" w:name="_GoBack"/>
      <w:bookmarkEnd w:id="0"/>
      <w:r>
        <w:rPr>
          <w:rFonts w:hint="eastAsia"/>
          <w:b/>
          <w:bCs/>
          <w:color w:val="auto"/>
          <w:sz w:val="30"/>
          <w:szCs w:val="30"/>
          <w:lang w:val="en-US" w:eastAsia="zh-CN"/>
        </w:rPr>
        <w:t>物理与电子技术学院推荐优秀应届本科毕业生</w:t>
      </w:r>
    </w:p>
    <w:p w14:paraId="2AE466B8">
      <w:pPr>
        <w:jc w:val="center"/>
        <w:rPr>
          <w:rFonts w:hint="default" w:eastAsia="宋体"/>
          <w:b/>
          <w:bCs/>
          <w:color w:val="auto"/>
          <w:sz w:val="30"/>
          <w:szCs w:val="30"/>
          <w:lang w:val="en-US" w:eastAsia="zh-CN"/>
        </w:rPr>
      </w:pPr>
      <w:r>
        <w:rPr>
          <w:rFonts w:hint="eastAsia"/>
          <w:b/>
          <w:bCs/>
          <w:color w:val="auto"/>
          <w:sz w:val="30"/>
          <w:szCs w:val="30"/>
          <w:lang w:val="en-US" w:eastAsia="zh-CN"/>
        </w:rPr>
        <w:t>免试攻读硕士研究生科研创新加分项目</w:t>
      </w:r>
    </w:p>
    <w:p w14:paraId="05A77619">
      <w:pPr>
        <w:rPr>
          <w:color w:val="auto"/>
        </w:rPr>
      </w:pPr>
    </w:p>
    <w:p w14:paraId="74AA7C4D">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en-US" w:eastAsia="zh-CN"/>
        </w:rPr>
        <w:t>物理与电子技术学院推荐优秀应届本科毕业生免试攻读硕士研究生科研创新加分项目界定</w:t>
      </w:r>
      <w:r>
        <w:rPr>
          <w:rFonts w:hint="eastAsia" w:ascii="宋体" w:hAnsi="宋体" w:cs="宋体"/>
          <w:color w:val="auto"/>
          <w:kern w:val="0"/>
          <w:sz w:val="24"/>
        </w:rPr>
        <w:t>如下：</w:t>
      </w:r>
    </w:p>
    <w:p w14:paraId="5FC50F60">
      <w:pPr>
        <w:spacing w:line="360" w:lineRule="auto"/>
        <w:ind w:firstLine="480" w:firstLineChars="200"/>
        <w:rPr>
          <w:rFonts w:hint="default" w:ascii="宋体" w:hAnsi="宋体" w:eastAsia="宋体"/>
          <w:color w:val="auto"/>
          <w:sz w:val="24"/>
          <w:lang w:val="en-US" w:eastAsia="zh-CN"/>
        </w:rPr>
      </w:pPr>
      <w:r>
        <w:rPr>
          <w:rFonts w:hint="eastAsia" w:ascii="宋体" w:hAnsi="宋体" w:cs="宋体"/>
          <w:color w:val="auto"/>
          <w:kern w:val="0"/>
          <w:sz w:val="24"/>
          <w:lang w:val="en-US" w:eastAsia="zh-CN"/>
        </w:rPr>
        <w:t>1、</w:t>
      </w:r>
      <w:r>
        <w:rPr>
          <w:rFonts w:hint="eastAsia" w:ascii="宋体" w:hAnsi="宋体" w:cs="宋体"/>
          <w:color w:val="auto"/>
          <w:kern w:val="0"/>
          <w:sz w:val="24"/>
        </w:rPr>
        <w:t>大学生创新创业训练计划项目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指经我校创新创业学院组织获批的项目。</w:t>
      </w:r>
    </w:p>
    <w:p w14:paraId="6455201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2、我校教务处组织的</w:t>
      </w:r>
      <w:r>
        <w:rPr>
          <w:rFonts w:hint="eastAsia" w:ascii="宋体" w:hAnsi="宋体" w:cs="宋体"/>
          <w:color w:val="auto"/>
          <w:kern w:val="0"/>
          <w:sz w:val="24"/>
        </w:rPr>
        <w:t>教师指导本科生科研训练项目、实验室开放项目、本科生自主科研</w:t>
      </w:r>
      <w:r>
        <w:rPr>
          <w:rFonts w:hint="eastAsia" w:ascii="宋体" w:hAnsi="宋体" w:cs="宋体"/>
          <w:color w:val="auto"/>
          <w:kern w:val="0"/>
          <w:sz w:val="24"/>
          <w:lang w:eastAsia="zh-CN"/>
        </w:rPr>
        <w:t>项目，</w:t>
      </w:r>
      <w:r>
        <w:rPr>
          <w:rFonts w:hint="eastAsia" w:ascii="宋体" w:hAnsi="宋体" w:cs="宋体"/>
          <w:color w:val="auto"/>
          <w:kern w:val="0"/>
          <w:sz w:val="24"/>
          <w:lang w:val="en-US" w:eastAsia="zh-CN"/>
        </w:rPr>
        <w:t>仅立项但未结题不计分。</w:t>
      </w:r>
    </w:p>
    <w:p w14:paraId="434E4BA0">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学术论文</w:t>
      </w:r>
      <w:r>
        <w:rPr>
          <w:rFonts w:hint="eastAsia" w:ascii="宋体" w:hAnsi="宋体"/>
          <w:color w:val="auto"/>
          <w:sz w:val="24"/>
          <w:lang w:val="en-US" w:eastAsia="zh-CN"/>
        </w:rPr>
        <w:t>期刊</w:t>
      </w:r>
      <w:r>
        <w:rPr>
          <w:rFonts w:hint="eastAsia" w:ascii="宋体" w:hAnsi="宋体"/>
          <w:color w:val="auto"/>
          <w:sz w:val="24"/>
          <w:lang w:eastAsia="zh-CN"/>
        </w:rPr>
        <w:t>：</w:t>
      </w:r>
      <w:r>
        <w:rPr>
          <w:rFonts w:hint="eastAsia" w:ascii="宋体" w:hAnsi="宋体"/>
          <w:color w:val="auto"/>
          <w:sz w:val="24"/>
          <w:lang w:val="en-US" w:eastAsia="zh-CN"/>
        </w:rPr>
        <w:t>指</w:t>
      </w:r>
      <w:r>
        <w:rPr>
          <w:rFonts w:hint="eastAsia" w:ascii="宋体" w:hAnsi="宋体"/>
          <w:color w:val="auto"/>
          <w:sz w:val="24"/>
        </w:rPr>
        <w:t>在正规期刊发表</w:t>
      </w:r>
      <w:r>
        <w:rPr>
          <w:rFonts w:hint="eastAsia" w:ascii="宋体" w:hAnsi="宋体"/>
          <w:color w:val="auto"/>
          <w:sz w:val="24"/>
          <w:lang w:eastAsia="zh-CN"/>
        </w:rPr>
        <w:t>且</w:t>
      </w:r>
      <w:r>
        <w:rPr>
          <w:rFonts w:hint="eastAsia" w:ascii="宋体" w:hAnsi="宋体"/>
          <w:color w:val="auto"/>
          <w:sz w:val="24"/>
        </w:rPr>
        <w:t>为辽宁师范大学论文等级认证收录的期刊或其它由学院认定的期刊</w:t>
      </w:r>
      <w:r>
        <w:rPr>
          <w:rFonts w:hint="eastAsia" w:ascii="宋体" w:hAnsi="宋体"/>
          <w:color w:val="auto"/>
          <w:sz w:val="24"/>
          <w:lang w:eastAsia="zh-CN"/>
        </w:rPr>
        <w:t>，</w:t>
      </w:r>
      <w:r>
        <w:rPr>
          <w:rFonts w:hint="eastAsia" w:ascii="宋体" w:hAnsi="宋体"/>
          <w:color w:val="auto"/>
          <w:sz w:val="24"/>
          <w:lang w:val="en-US" w:eastAsia="zh-CN"/>
        </w:rPr>
        <w:t>且论文研究内容应与专业密切相关。论文等级按现行的</w:t>
      </w:r>
      <w:r>
        <w:rPr>
          <w:rFonts w:hint="eastAsia" w:ascii="宋体" w:hAnsi="宋体"/>
          <w:color w:val="auto"/>
          <w:sz w:val="24"/>
        </w:rPr>
        <w:t>辽宁师范大学论文等级认证</w:t>
      </w:r>
      <w:r>
        <w:rPr>
          <w:rFonts w:hint="eastAsia" w:ascii="宋体" w:hAnsi="宋体"/>
          <w:color w:val="auto"/>
          <w:sz w:val="24"/>
          <w:lang w:val="en-US" w:eastAsia="zh-CN"/>
        </w:rPr>
        <w:t>规定执行。</w:t>
      </w:r>
    </w:p>
    <w:p w14:paraId="611ADEE7">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学院认定的</w:t>
      </w:r>
      <w:r>
        <w:rPr>
          <w:rFonts w:hint="eastAsia" w:ascii="宋体" w:hAnsi="宋体" w:cs="宋体"/>
          <w:color w:val="auto"/>
          <w:kern w:val="0"/>
          <w:sz w:val="24"/>
        </w:rPr>
        <w:t>3-类</w:t>
      </w:r>
      <w:r>
        <w:rPr>
          <w:rFonts w:hint="eastAsia" w:ascii="宋体" w:hAnsi="宋体"/>
          <w:color w:val="auto"/>
          <w:sz w:val="24"/>
          <w:lang w:val="en-US" w:eastAsia="zh-CN"/>
        </w:rPr>
        <w:t>期刊包括但不限于以下期刊：</w:t>
      </w:r>
    </w:p>
    <w:p w14:paraId="615594A2">
      <w:pPr>
        <w:spacing w:line="360" w:lineRule="auto"/>
        <w:ind w:firstLine="480" w:firstLineChars="200"/>
        <w:rPr>
          <w:rFonts w:hint="default" w:ascii="宋体" w:hAnsi="宋体"/>
          <w:color w:val="auto"/>
          <w:sz w:val="24"/>
          <w:lang w:val="en-US" w:eastAsia="zh-CN"/>
        </w:rPr>
      </w:pPr>
      <w:r>
        <w:rPr>
          <w:rFonts w:hint="eastAsia" w:ascii="宋体" w:hAnsi="宋体" w:cs="宋体"/>
          <w:color w:val="auto"/>
          <w:kern w:val="0"/>
          <w:sz w:val="24"/>
          <w:lang w:val="en-US" w:eastAsia="zh-CN"/>
        </w:rPr>
        <w:t>光电技术应用、大学物理实验、中学课程资源、</w:t>
      </w:r>
      <w:r>
        <w:rPr>
          <w:rFonts w:hint="default" w:ascii="宋体" w:hAnsi="宋体" w:cs="宋体"/>
          <w:color w:val="auto"/>
          <w:kern w:val="0"/>
          <w:sz w:val="24"/>
          <w:lang w:val="en-US" w:eastAsia="zh-CN"/>
        </w:rPr>
        <w:t>物理通报、中学物理、中学物理教学参考、物理教学探讨</w:t>
      </w:r>
      <w:r>
        <w:rPr>
          <w:rFonts w:hint="eastAsia" w:ascii="宋体" w:hAnsi="宋体" w:cs="宋体"/>
          <w:color w:val="auto"/>
          <w:kern w:val="0"/>
          <w:sz w:val="24"/>
          <w:lang w:val="en-US" w:eastAsia="zh-CN"/>
        </w:rPr>
        <w:t>、教学与管理、教学管理与教育研究、考试周刊、会议论文（ISSN）</w:t>
      </w:r>
    </w:p>
    <w:p w14:paraId="24537E97">
      <w:pPr>
        <w:spacing w:line="360" w:lineRule="auto"/>
        <w:ind w:firstLine="480" w:firstLineChars="200"/>
        <w:rPr>
          <w:rFonts w:hint="default" w:ascii="宋体" w:hAnsi="宋体" w:eastAsia="宋体"/>
          <w:color w:val="auto"/>
          <w:sz w:val="24"/>
          <w:lang w:val="en-US" w:eastAsia="zh-CN"/>
        </w:rPr>
      </w:pPr>
      <w:r>
        <w:rPr>
          <w:rFonts w:hint="eastAsia" w:ascii="宋体" w:hAnsi="宋体" w:cs="宋体"/>
          <w:color w:val="auto"/>
          <w:kern w:val="0"/>
          <w:sz w:val="24"/>
          <w:lang w:val="en-US" w:eastAsia="zh-CN"/>
        </w:rPr>
        <w:t>4、</w:t>
      </w:r>
      <w:r>
        <w:rPr>
          <w:rFonts w:hint="eastAsia" w:ascii="宋体" w:hAnsi="宋体" w:cs="宋体"/>
          <w:color w:val="auto"/>
          <w:kern w:val="0"/>
          <w:sz w:val="24"/>
        </w:rPr>
        <w:t>授权专利</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软著</w:t>
      </w:r>
      <w:r>
        <w:rPr>
          <w:rFonts w:hint="eastAsia" w:ascii="宋体" w:hAnsi="宋体" w:cs="宋体"/>
          <w:color w:val="auto"/>
          <w:kern w:val="0"/>
          <w:sz w:val="24"/>
          <w:lang w:eastAsia="zh-CN"/>
        </w:rPr>
        <w:t>：</w:t>
      </w:r>
      <w:r>
        <w:rPr>
          <w:rFonts w:hint="eastAsia" w:ascii="宋体" w:hAnsi="宋体" w:cs="宋体"/>
          <w:color w:val="auto"/>
          <w:kern w:val="0"/>
          <w:sz w:val="24"/>
        </w:rPr>
        <w:t>授权专利</w:t>
      </w:r>
      <w:r>
        <w:rPr>
          <w:rFonts w:hint="eastAsia" w:ascii="宋体" w:hAnsi="宋体" w:cs="宋体"/>
          <w:color w:val="auto"/>
          <w:kern w:val="0"/>
          <w:sz w:val="24"/>
          <w:lang w:val="en-US" w:eastAsia="zh-CN"/>
        </w:rPr>
        <w:t>指中华人民共和国国家知识产权局认定的</w:t>
      </w:r>
      <w:r>
        <w:rPr>
          <w:rFonts w:hint="eastAsia" w:ascii="宋体" w:hAnsi="宋体"/>
          <w:color w:val="auto"/>
          <w:sz w:val="24"/>
        </w:rPr>
        <w:t>发明专利</w:t>
      </w:r>
      <w:r>
        <w:rPr>
          <w:rFonts w:hint="eastAsia" w:ascii="宋体" w:hAnsi="宋体"/>
          <w:color w:val="auto"/>
          <w:sz w:val="24"/>
          <w:lang w:eastAsia="zh-CN"/>
        </w:rPr>
        <w:t>、</w:t>
      </w:r>
      <w:r>
        <w:rPr>
          <w:rFonts w:hint="eastAsia" w:ascii="宋体" w:hAnsi="宋体"/>
          <w:color w:val="auto"/>
          <w:sz w:val="24"/>
        </w:rPr>
        <w:t>实用新型专利</w:t>
      </w:r>
      <w:r>
        <w:rPr>
          <w:rFonts w:hint="eastAsia" w:ascii="宋体" w:hAnsi="宋体"/>
          <w:color w:val="auto"/>
          <w:sz w:val="24"/>
          <w:lang w:eastAsia="zh-CN"/>
        </w:rPr>
        <w:t>、</w:t>
      </w:r>
      <w:r>
        <w:rPr>
          <w:rFonts w:hint="eastAsia" w:ascii="宋体" w:hAnsi="宋体"/>
          <w:color w:val="auto"/>
          <w:sz w:val="24"/>
        </w:rPr>
        <w:t>外观设计专利</w:t>
      </w:r>
      <w:r>
        <w:rPr>
          <w:rFonts w:hint="eastAsia" w:ascii="宋体" w:hAnsi="宋体"/>
          <w:color w:val="auto"/>
          <w:sz w:val="24"/>
          <w:lang w:eastAsia="zh-CN"/>
        </w:rPr>
        <w:t>；</w:t>
      </w:r>
      <w:r>
        <w:rPr>
          <w:rFonts w:hint="eastAsia" w:ascii="宋体" w:hAnsi="宋体" w:cs="宋体"/>
          <w:color w:val="auto"/>
          <w:kern w:val="0"/>
          <w:sz w:val="24"/>
          <w:lang w:val="en-US" w:eastAsia="zh-CN"/>
        </w:rPr>
        <w:t>计算机软件著作权需经官方登记获得登记证书。</w:t>
      </w:r>
    </w:p>
    <w:p w14:paraId="0D620032">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5、</w:t>
      </w:r>
      <w:r>
        <w:rPr>
          <w:rFonts w:hint="eastAsia" w:ascii="宋体" w:hAnsi="宋体"/>
          <w:color w:val="auto"/>
          <w:sz w:val="24"/>
        </w:rPr>
        <w:t>学科竞赛</w:t>
      </w:r>
      <w:r>
        <w:rPr>
          <w:rFonts w:hint="eastAsia" w:ascii="宋体" w:hAnsi="宋体"/>
          <w:color w:val="auto"/>
          <w:sz w:val="24"/>
          <w:lang w:eastAsia="zh-CN"/>
        </w:rPr>
        <w:t>：</w:t>
      </w:r>
      <w:r>
        <w:rPr>
          <w:rFonts w:hint="eastAsia" w:ascii="宋体" w:hAnsi="宋体"/>
          <w:color w:val="auto"/>
          <w:sz w:val="24"/>
          <w:lang w:val="en-US" w:eastAsia="zh-CN"/>
        </w:rPr>
        <w:t>指由政府部门或行业学会、协会主办或承办的竞赛。</w:t>
      </w:r>
    </w:p>
    <w:p w14:paraId="6A84380F">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学科竞赛中的如下类成果认定为专业密切相关成果（包含但不限于）：</w:t>
      </w:r>
    </w:p>
    <w:p w14:paraId="371965FC">
      <w:pPr>
        <w:spacing w:line="360" w:lineRule="auto"/>
        <w:ind w:firstLine="960" w:firstLineChars="400"/>
        <w:rPr>
          <w:rFonts w:hint="eastAsia" w:ascii="宋体" w:hAnsi="宋体"/>
          <w:color w:val="auto"/>
          <w:sz w:val="24"/>
          <w:lang w:val="en-US" w:eastAsia="zh-CN"/>
        </w:rPr>
      </w:pPr>
      <w:r>
        <w:rPr>
          <w:rFonts w:hint="eastAsia" w:ascii="宋体" w:hAnsi="宋体"/>
          <w:color w:val="auto"/>
          <w:sz w:val="24"/>
          <w:lang w:val="en-US" w:eastAsia="zh-CN"/>
        </w:rPr>
        <w:t>物理类竞赛（如物理实验竞赛、物理学术竞赛等）；</w:t>
      </w:r>
    </w:p>
    <w:p w14:paraId="07028B9E">
      <w:pPr>
        <w:spacing w:line="360" w:lineRule="auto"/>
        <w:ind w:firstLine="960" w:firstLineChars="400"/>
        <w:rPr>
          <w:rFonts w:hint="default" w:ascii="宋体" w:hAnsi="宋体"/>
          <w:color w:val="auto"/>
          <w:sz w:val="24"/>
          <w:lang w:val="en-US" w:eastAsia="zh-CN"/>
        </w:rPr>
      </w:pPr>
      <w:r>
        <w:rPr>
          <w:rFonts w:hint="eastAsia" w:ascii="宋体" w:hAnsi="宋体"/>
          <w:color w:val="auto"/>
          <w:sz w:val="24"/>
          <w:lang w:val="en-US" w:eastAsia="zh-CN"/>
        </w:rPr>
        <w:t>电子类竞赛（如大学生电子设计大赛等）；</w:t>
      </w:r>
    </w:p>
    <w:p w14:paraId="672BBED0">
      <w:pPr>
        <w:spacing w:line="360" w:lineRule="auto"/>
        <w:ind w:firstLine="960" w:firstLineChars="400"/>
        <w:rPr>
          <w:rFonts w:hint="eastAsia" w:ascii="宋体" w:hAnsi="宋体"/>
          <w:color w:val="auto"/>
          <w:sz w:val="24"/>
          <w:lang w:val="en-US" w:eastAsia="zh-CN"/>
        </w:rPr>
      </w:pPr>
      <w:r>
        <w:rPr>
          <w:rFonts w:hint="eastAsia" w:ascii="宋体" w:hAnsi="宋体"/>
          <w:color w:val="auto"/>
          <w:sz w:val="24"/>
          <w:lang w:val="en-US" w:eastAsia="zh-CN"/>
        </w:rPr>
        <w:t>教育教学类竞赛（如“田家炳杯”</w:t>
      </w:r>
      <w:r>
        <w:rPr>
          <w:rFonts w:hint="default" w:ascii="宋体" w:hAnsi="宋体"/>
          <w:color w:val="auto"/>
          <w:sz w:val="24"/>
          <w:lang w:val="en-US" w:eastAsia="zh-CN"/>
        </w:rPr>
        <w:t>全国师范院校师范生教学技能竞赛</w:t>
      </w:r>
      <w:r>
        <w:rPr>
          <w:rFonts w:hint="eastAsia" w:ascii="宋体" w:hAnsi="宋体"/>
          <w:color w:val="auto"/>
          <w:sz w:val="24"/>
          <w:lang w:val="en-US" w:eastAsia="zh-CN"/>
        </w:rPr>
        <w:t>、</w:t>
      </w:r>
      <w:r>
        <w:rPr>
          <w:rFonts w:hint="eastAsia" w:ascii="宋体" w:hAnsi="宋体" w:cs="宋体"/>
          <w:color w:val="auto"/>
          <w:sz w:val="24"/>
          <w:szCs w:val="24"/>
          <w:lang w:val="en-US" w:eastAsia="zh-CN"/>
        </w:rPr>
        <w:t>大学生“i Teach”数字化教育应用创新大赛等</w:t>
      </w:r>
      <w:r>
        <w:rPr>
          <w:rFonts w:hint="eastAsia" w:ascii="宋体" w:hAnsi="宋体"/>
          <w:color w:val="auto"/>
          <w:sz w:val="24"/>
          <w:lang w:val="en-US" w:eastAsia="zh-CN"/>
        </w:rPr>
        <w:t>）；</w:t>
      </w:r>
    </w:p>
    <w:p w14:paraId="614EE86D">
      <w:pPr>
        <w:spacing w:line="360" w:lineRule="auto"/>
        <w:ind w:firstLine="960" w:firstLineChars="400"/>
        <w:rPr>
          <w:rFonts w:hint="default" w:ascii="宋体" w:hAnsi="宋体"/>
          <w:color w:val="auto"/>
          <w:sz w:val="24"/>
          <w:lang w:val="en-US" w:eastAsia="zh-CN"/>
        </w:rPr>
      </w:pPr>
      <w:r>
        <w:rPr>
          <w:rFonts w:hint="eastAsia" w:ascii="宋体" w:hAnsi="宋体"/>
          <w:color w:val="auto"/>
          <w:sz w:val="24"/>
          <w:lang w:val="en-US" w:eastAsia="zh-CN"/>
        </w:rPr>
        <w:t>数学类竞赛（如大学生数学竞赛、数学建模竞赛等）；</w:t>
      </w:r>
    </w:p>
    <w:p w14:paraId="496BD2AB">
      <w:pPr>
        <w:spacing w:line="360" w:lineRule="auto"/>
        <w:ind w:firstLine="960" w:firstLineChars="400"/>
        <w:rPr>
          <w:rFonts w:hint="eastAsia" w:ascii="宋体" w:hAnsi="宋体"/>
          <w:color w:val="auto"/>
          <w:sz w:val="24"/>
          <w:lang w:val="en-US" w:eastAsia="zh-CN"/>
        </w:rPr>
      </w:pPr>
      <w:r>
        <w:rPr>
          <w:rFonts w:hint="eastAsia" w:ascii="宋体" w:hAnsi="宋体"/>
          <w:color w:val="auto"/>
          <w:sz w:val="24"/>
          <w:lang w:val="en-US" w:eastAsia="zh-CN"/>
        </w:rPr>
        <w:t>天文类竞赛（如</w:t>
      </w:r>
      <w:r>
        <w:rPr>
          <w:rFonts w:hint="eastAsia" w:ascii="宋体" w:hAnsi="宋体" w:cs="宋体"/>
          <w:color w:val="auto"/>
          <w:sz w:val="24"/>
          <w:szCs w:val="24"/>
          <w:lang w:val="en-US" w:eastAsia="zh-CN"/>
        </w:rPr>
        <w:t>宇宙漫游作品征集奖项</w:t>
      </w:r>
      <w:r>
        <w:rPr>
          <w:rFonts w:hint="eastAsia" w:ascii="宋体" w:hAnsi="宋体"/>
          <w:color w:val="auto"/>
          <w:sz w:val="24"/>
          <w:lang w:val="en-US" w:eastAsia="zh-CN"/>
        </w:rPr>
        <w:t>）；</w:t>
      </w:r>
    </w:p>
    <w:p w14:paraId="22D2F3B1">
      <w:pPr>
        <w:spacing w:line="360" w:lineRule="auto"/>
        <w:ind w:firstLine="960" w:firstLineChars="400"/>
        <w:rPr>
          <w:rFonts w:hint="eastAsia" w:ascii="宋体" w:hAnsi="宋体"/>
          <w:color w:val="auto"/>
          <w:sz w:val="24"/>
          <w:lang w:val="en-US" w:eastAsia="zh-CN"/>
        </w:rPr>
      </w:pPr>
      <w:r>
        <w:rPr>
          <w:rFonts w:hint="eastAsia" w:ascii="宋体" w:hAnsi="宋体"/>
          <w:color w:val="auto"/>
          <w:sz w:val="24"/>
          <w:lang w:val="en-US" w:eastAsia="zh-CN"/>
        </w:rPr>
        <w:t>计算机类竞赛（如</w:t>
      </w:r>
      <w:r>
        <w:rPr>
          <w:rFonts w:hint="eastAsia" w:ascii="宋体" w:hAnsi="宋体" w:cs="宋体"/>
          <w:color w:val="auto"/>
          <w:kern w:val="0"/>
          <w:sz w:val="24"/>
          <w:szCs w:val="24"/>
          <w:lang w:val="en-US" w:eastAsia="zh-CN" w:bidi="ar"/>
        </w:rPr>
        <w:t>全国大学生计算机设计大赛等</w:t>
      </w:r>
      <w:r>
        <w:rPr>
          <w:rFonts w:hint="eastAsia" w:ascii="宋体" w:hAnsi="宋体"/>
          <w:color w:val="auto"/>
          <w:sz w:val="24"/>
          <w:lang w:val="en-US" w:eastAsia="zh-CN"/>
        </w:rPr>
        <w:t>）；</w:t>
      </w:r>
    </w:p>
    <w:p w14:paraId="4FC21CAC">
      <w:pPr>
        <w:spacing w:line="360" w:lineRule="auto"/>
        <w:ind w:firstLine="960" w:firstLineChars="400"/>
        <w:rPr>
          <w:rFonts w:hint="default" w:ascii="宋体" w:hAnsi="宋体"/>
          <w:color w:val="auto"/>
          <w:sz w:val="24"/>
          <w:lang w:val="en-US" w:eastAsia="zh-CN"/>
        </w:rPr>
      </w:pPr>
      <w:r>
        <w:rPr>
          <w:rFonts w:hint="eastAsia" w:ascii="宋体" w:hAnsi="宋体"/>
          <w:color w:val="auto"/>
          <w:sz w:val="24"/>
          <w:lang w:val="en-US" w:eastAsia="zh-CN"/>
        </w:rPr>
        <w:t>其它（需证明作者承担的内容与专业密切相关，如单纯的英语类竞赛不计入加分项）。</w:t>
      </w:r>
    </w:p>
    <w:p w14:paraId="55D8D257">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学科竞赛中的如下类成果认定为综合性成果（包含但不限于）：</w:t>
      </w:r>
    </w:p>
    <w:p w14:paraId="72844ECE">
      <w:pPr>
        <w:spacing w:line="360" w:lineRule="auto"/>
        <w:ind w:firstLine="960" w:firstLineChars="400"/>
        <w:rPr>
          <w:rFonts w:hint="eastAsia" w:ascii="宋体" w:hAnsi="宋体" w:cs="Times New Roman"/>
          <w:color w:val="auto"/>
          <w:sz w:val="24"/>
          <w:lang w:val="en-US" w:eastAsia="zh-CN"/>
        </w:rPr>
      </w:pPr>
      <w:r>
        <w:rPr>
          <w:rFonts w:hint="eastAsia" w:ascii="宋体" w:hAnsi="宋体" w:cs="Times New Roman"/>
          <w:color w:val="auto"/>
          <w:sz w:val="24"/>
          <w:lang w:val="en-US" w:eastAsia="zh-CN"/>
        </w:rPr>
        <w:t>“互联网+”创新创业大赛；</w:t>
      </w:r>
    </w:p>
    <w:p w14:paraId="447EB5C9">
      <w:pPr>
        <w:spacing w:line="360" w:lineRule="auto"/>
        <w:ind w:firstLine="960" w:firstLineChars="400"/>
        <w:rPr>
          <w:rFonts w:hint="eastAsia" w:ascii="宋体" w:hAnsi="宋体" w:cs="Times New Roman"/>
          <w:color w:val="auto"/>
          <w:sz w:val="24"/>
          <w:lang w:val="en-US" w:eastAsia="zh-CN"/>
        </w:rPr>
      </w:pPr>
      <w:r>
        <w:rPr>
          <w:rFonts w:hint="eastAsia" w:ascii="宋体" w:hAnsi="宋体" w:cs="Times New Roman"/>
          <w:color w:val="auto"/>
          <w:sz w:val="24"/>
          <w:lang w:val="en-US" w:eastAsia="zh-CN"/>
        </w:rPr>
        <w:t>“挑战杯”创新创业大赛；</w:t>
      </w:r>
    </w:p>
    <w:p w14:paraId="67D7DE99">
      <w:pPr>
        <w:spacing w:line="360" w:lineRule="auto"/>
        <w:ind w:firstLine="960" w:firstLineChars="400"/>
        <w:rPr>
          <w:rFonts w:hint="eastAsia" w:ascii="宋体" w:hAnsi="宋体" w:cs="Times New Roman"/>
          <w:color w:val="auto"/>
          <w:sz w:val="24"/>
          <w:lang w:val="en-US" w:eastAsia="zh-CN"/>
        </w:rPr>
      </w:pPr>
      <w:r>
        <w:rPr>
          <w:rFonts w:hint="eastAsia" w:ascii="宋体" w:hAnsi="宋体" w:cs="Times New Roman"/>
          <w:color w:val="auto"/>
          <w:sz w:val="24"/>
          <w:lang w:val="en-US" w:eastAsia="zh-CN"/>
        </w:rPr>
        <w:t>大学生创新大赛；</w:t>
      </w:r>
    </w:p>
    <w:p w14:paraId="179AD70F">
      <w:pPr>
        <w:spacing w:line="360" w:lineRule="auto"/>
        <w:ind w:firstLine="960" w:firstLineChars="400"/>
        <w:rPr>
          <w:rFonts w:hint="default" w:ascii="宋体" w:hAnsi="宋体" w:cs="Times New Roman"/>
          <w:color w:val="auto"/>
          <w:sz w:val="24"/>
          <w:lang w:val="en-US" w:eastAsia="zh-CN"/>
        </w:rPr>
      </w:pPr>
      <w:r>
        <w:rPr>
          <w:rFonts w:hint="eastAsia" w:ascii="宋体" w:hAnsi="宋体" w:cs="Times New Roman"/>
          <w:color w:val="auto"/>
          <w:sz w:val="24"/>
          <w:lang w:val="en-US" w:eastAsia="zh-CN"/>
        </w:rPr>
        <w:t>大创年会获奖；</w:t>
      </w:r>
    </w:p>
    <w:p w14:paraId="0C86B118">
      <w:pPr>
        <w:spacing w:line="360" w:lineRule="auto"/>
        <w:ind w:firstLine="960" w:firstLineChars="400"/>
        <w:rPr>
          <w:rFonts w:hint="default" w:ascii="宋体" w:hAnsi="宋体"/>
          <w:color w:val="auto"/>
          <w:sz w:val="24"/>
          <w:lang w:val="en-US" w:eastAsia="zh-CN"/>
        </w:rPr>
      </w:pPr>
      <w:r>
        <w:rPr>
          <w:rFonts w:hint="eastAsia" w:ascii="宋体" w:hAnsi="宋体" w:cs="Times New Roman"/>
          <w:color w:val="auto"/>
          <w:sz w:val="24"/>
          <w:lang w:val="en-US" w:eastAsia="zh-CN"/>
        </w:rPr>
        <w:t>其它（如大学生网络营销技能大赛等）。</w:t>
      </w:r>
    </w:p>
    <w:p w14:paraId="0D8AB08D">
      <w:pPr>
        <w:numPr>
          <w:ilvl w:val="0"/>
          <w:numId w:val="1"/>
        </w:numPr>
        <w:spacing w:line="360" w:lineRule="auto"/>
        <w:ind w:left="480" w:leftChars="0" w:firstLine="0" w:firstLineChars="0"/>
        <w:rPr>
          <w:rFonts w:hint="eastAsia" w:ascii="宋体" w:hAnsi="宋体"/>
          <w:color w:val="auto"/>
          <w:sz w:val="24"/>
          <w:lang w:val="en-US" w:eastAsia="zh-CN"/>
        </w:rPr>
      </w:pPr>
      <w:r>
        <w:rPr>
          <w:rFonts w:hint="eastAsia" w:ascii="宋体" w:hAnsi="宋体"/>
          <w:color w:val="auto"/>
          <w:sz w:val="24"/>
          <w:lang w:val="en-US" w:eastAsia="zh-CN"/>
        </w:rPr>
        <w:t>科研创新加分项目需保证其创新性特征，例如识记类的知识竞赛不计入加分项目。</w:t>
      </w:r>
    </w:p>
    <w:p w14:paraId="69A87ED8">
      <w:pPr>
        <w:numPr>
          <w:ilvl w:val="0"/>
          <w:numId w:val="0"/>
        </w:numPr>
        <w:spacing w:line="360" w:lineRule="auto"/>
        <w:ind w:left="480" w:leftChars="0"/>
        <w:rPr>
          <w:rFonts w:hint="default" w:ascii="宋体" w:hAnsi="宋体" w:cs="宋体"/>
          <w:color w:val="auto"/>
          <w:kern w:val="0"/>
          <w:sz w:val="24"/>
          <w:lang w:val="en-US" w:eastAsia="zh-CN"/>
        </w:rPr>
      </w:pPr>
    </w:p>
    <w:p w14:paraId="236D9A7C">
      <w:pPr>
        <w:numPr>
          <w:ilvl w:val="0"/>
          <w:numId w:val="0"/>
        </w:numPr>
        <w:spacing w:line="360" w:lineRule="auto"/>
        <w:ind w:left="480" w:leftChars="0" w:firstLine="480" w:firstLineChars="200"/>
        <w:rPr>
          <w:rFonts w:hint="eastAsia" w:ascii="宋体" w:hAnsi="宋体" w:cs="宋体"/>
          <w:color w:val="auto"/>
          <w:kern w:val="0"/>
          <w:sz w:val="24"/>
        </w:rPr>
      </w:pPr>
      <w:r>
        <w:rPr>
          <w:rFonts w:hint="eastAsia"/>
          <w:color w:val="auto"/>
          <w:sz w:val="24"/>
          <w:szCs w:val="24"/>
          <w:lang w:val="en-US" w:eastAsia="zh-CN"/>
        </w:rPr>
        <w:t>以上各类项目的具体计分标准详见《物理与电子技术学院推荐优秀应届本科毕业生免试攻读硕士研究生考核成绩的计算办法》。</w:t>
      </w:r>
      <w:r>
        <w:rPr>
          <w:rFonts w:hint="eastAsia" w:ascii="宋体" w:hAnsi="宋体" w:cs="宋体"/>
          <w:color w:val="auto"/>
          <w:kern w:val="0"/>
          <w:sz w:val="24"/>
        </w:rPr>
        <w:t>未尽事宜由学院推免生遴选工作小组</w:t>
      </w:r>
      <w:r>
        <w:rPr>
          <w:rFonts w:hint="eastAsia" w:ascii="宋体" w:hAnsi="宋体" w:cs="宋体"/>
          <w:color w:val="auto"/>
          <w:kern w:val="0"/>
          <w:sz w:val="24"/>
          <w:lang w:val="en-US" w:eastAsia="zh-CN"/>
        </w:rPr>
        <w:t>研究</w:t>
      </w:r>
      <w:r>
        <w:rPr>
          <w:rFonts w:hint="eastAsia" w:ascii="宋体" w:hAnsi="宋体" w:cs="宋体"/>
          <w:color w:val="auto"/>
          <w:kern w:val="0"/>
          <w:sz w:val="24"/>
        </w:rPr>
        <w:t>决定。</w:t>
      </w:r>
    </w:p>
    <w:p w14:paraId="56AE0FAD">
      <w:pPr>
        <w:spacing w:line="360" w:lineRule="auto"/>
        <w:ind w:firstLine="420"/>
        <w:rPr>
          <w:rFonts w:hint="eastAsia"/>
          <w:color w:val="auto"/>
          <w:sz w:val="24"/>
          <w:szCs w:val="24"/>
          <w:lang w:val="en-US" w:eastAsia="zh-CN"/>
        </w:rPr>
      </w:pPr>
    </w:p>
    <w:p w14:paraId="535CBBB9">
      <w:pPr>
        <w:spacing w:line="360" w:lineRule="auto"/>
        <w:ind w:firstLine="420"/>
        <w:rPr>
          <w:rFonts w:hint="default"/>
          <w:color w:val="auto"/>
          <w:sz w:val="24"/>
          <w:szCs w:val="24"/>
          <w:lang w:val="en-US" w:eastAsia="zh-CN"/>
        </w:rPr>
      </w:pPr>
    </w:p>
    <w:p w14:paraId="14AC7A2D">
      <w:pPr>
        <w:spacing w:line="360" w:lineRule="auto"/>
        <w:ind w:firstLine="5520" w:firstLineChars="2300"/>
        <w:rPr>
          <w:rFonts w:hint="eastAsia"/>
          <w:color w:val="auto"/>
          <w:sz w:val="24"/>
          <w:szCs w:val="24"/>
          <w:lang w:val="en-US" w:eastAsia="zh-CN"/>
        </w:rPr>
      </w:pPr>
      <w:r>
        <w:rPr>
          <w:rFonts w:hint="eastAsia"/>
          <w:color w:val="auto"/>
          <w:sz w:val="24"/>
          <w:szCs w:val="24"/>
          <w:lang w:val="en-US" w:eastAsia="zh-CN"/>
        </w:rPr>
        <w:t>物理与电子技术学院</w:t>
      </w:r>
    </w:p>
    <w:p w14:paraId="5ACE6894">
      <w:pPr>
        <w:spacing w:line="360" w:lineRule="auto"/>
        <w:ind w:firstLine="5520" w:firstLineChars="2300"/>
        <w:rPr>
          <w:rFonts w:hint="default"/>
          <w:color w:val="auto"/>
          <w:sz w:val="24"/>
          <w:szCs w:val="24"/>
          <w:lang w:val="en-US" w:eastAsia="zh-CN"/>
        </w:rPr>
      </w:pPr>
      <w:r>
        <w:rPr>
          <w:rFonts w:hint="eastAsia"/>
          <w:color w:val="auto"/>
          <w:sz w:val="24"/>
          <w:szCs w:val="24"/>
          <w:lang w:val="en-US" w:eastAsia="zh-CN"/>
        </w:rPr>
        <w:t>2025年8月25日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2FD2B"/>
    <w:multiLevelType w:val="singleLevel"/>
    <w:tmpl w:val="3512FD2B"/>
    <w:lvl w:ilvl="0" w:tentative="0">
      <w:start w:val="6"/>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Y0YzNmMDUzMjUyOTJhYTZhMjA2MTIzNDgwZjEifQ=="/>
  </w:docVars>
  <w:rsids>
    <w:rsidRoot w:val="00000000"/>
    <w:rsid w:val="004E616D"/>
    <w:rsid w:val="01524E43"/>
    <w:rsid w:val="01DB6127"/>
    <w:rsid w:val="038F013B"/>
    <w:rsid w:val="03F434D0"/>
    <w:rsid w:val="0A906C48"/>
    <w:rsid w:val="0B304BA4"/>
    <w:rsid w:val="0FF7412C"/>
    <w:rsid w:val="10586223"/>
    <w:rsid w:val="124D1131"/>
    <w:rsid w:val="16B94831"/>
    <w:rsid w:val="1CF552E3"/>
    <w:rsid w:val="23D33350"/>
    <w:rsid w:val="272F24B1"/>
    <w:rsid w:val="28754330"/>
    <w:rsid w:val="29570A04"/>
    <w:rsid w:val="30BB15BF"/>
    <w:rsid w:val="35613C72"/>
    <w:rsid w:val="3FC26FB4"/>
    <w:rsid w:val="40842A0E"/>
    <w:rsid w:val="422C2D66"/>
    <w:rsid w:val="49543DC1"/>
    <w:rsid w:val="4C300A63"/>
    <w:rsid w:val="52B52E07"/>
    <w:rsid w:val="556F788D"/>
    <w:rsid w:val="63D87C65"/>
    <w:rsid w:val="67E571A0"/>
    <w:rsid w:val="684814E6"/>
    <w:rsid w:val="6D920165"/>
    <w:rsid w:val="6F2474E3"/>
    <w:rsid w:val="7AF810EA"/>
    <w:rsid w:val="7C262AEC"/>
    <w:rsid w:val="7CA5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paragraph" w:customStyle="1" w:styleId="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907</Characters>
  <Lines>0</Lines>
  <Paragraphs>0</Paragraphs>
  <TotalTime>1</TotalTime>
  <ScaleCrop>false</ScaleCrop>
  <LinksUpToDate>false</LinksUpToDate>
  <CharactersWithSpaces>908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2024-08-23T23:54:00Z</dcterms:created>
  <dc:creator>cjx</dc:creator>
  <cp:lastModifiedBy>周媛</cp:lastModifiedBy>
  <dcterms:modified xsi:type="dcterms:W3CDTF">2025-08-25T02:04:27Z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5B0DE915C2604F4791A8579E119187C3_13</vt:lpwstr>
  </property>
  <property fmtid="{D5CDD505-2E9C-101B-9397-08002B2CF9AE}" pid="4" name="KSOTemplateDocerSaveRecord">
    <vt:lpwstr>eyJoZGlkIjoiNWU4ZjE0YzY4ODQ0NTlhNWViODQ5MDk3NTVhODNmMzEiLCJ1c2VySWQiOiIxMTQ1MzAzOTgyIn0=</vt:lpwstr>
  </property>
</Properties>
</file>